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令和４年度　第１０回小林地区バレーボール協会杯　申込書</w:t>
      </w:r>
    </w:p>
    <w:tbl>
      <w:tblPr>
        <w:tblStyle w:val="21"/>
        <w:tblW w:w="10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1545"/>
        <w:gridCol w:w="3673"/>
        <w:gridCol w:w="1571"/>
        <w:gridCol w:w="3647"/>
      </w:tblGrid>
      <w:tr>
        <w:trPr/>
        <w:tc>
          <w:tcPr>
            <w:tcW w:w="1545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891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1545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891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1545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6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4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200" w:hRule="atLeast"/>
        </w:trPr>
        <w:tc>
          <w:tcPr>
            <w:tcW w:w="1545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監督</w:t>
            </w:r>
          </w:p>
        </w:tc>
        <w:tc>
          <w:tcPr>
            <w:tcW w:w="36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コーチ</w:t>
            </w:r>
          </w:p>
        </w:tc>
        <w:tc>
          <w:tcPr>
            <w:tcW w:w="364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160" w:hRule="atLeast"/>
        </w:trPr>
        <w:tc>
          <w:tcPr>
            <w:tcW w:w="1545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3673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57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記録員</w:t>
            </w:r>
          </w:p>
        </w:tc>
        <w:tc>
          <w:tcPr>
            <w:tcW w:w="364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</w:tbl>
    <w:p>
      <w:pPr>
        <w:pStyle w:val="0"/>
        <w:spacing w:line="276" w:lineRule="auto"/>
        <w:rPr>
          <w:rFonts w:hint="default"/>
        </w:rPr>
      </w:pPr>
    </w:p>
    <w:tbl>
      <w:tblPr>
        <w:tblStyle w:val="21"/>
        <w:tblW w:w="1043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836"/>
        <w:gridCol w:w="4394"/>
        <w:gridCol w:w="1031"/>
        <w:gridCol w:w="2087"/>
        <w:gridCol w:w="2088"/>
      </w:tblGrid>
      <w:tr>
        <w:trPr/>
        <w:tc>
          <w:tcPr>
            <w:tcW w:w="10436" w:type="dxa"/>
            <w:gridSpan w:val="5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選　　　　　　　　　　　　　　　　　　　　　　手</w:t>
            </w: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出身中学校</w:t>
            </w: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/>
        <w:tc>
          <w:tcPr>
            <w:tcW w:w="836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4394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03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208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</w:tbl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※主将は番号を〇で囲む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 w:customStyle="1">
    <w:name w:val="Unresolved Mention"/>
    <w:basedOn w:val="10"/>
    <w:next w:val="16"/>
    <w:link w:val="0"/>
    <w:uiPriority w:val="0"/>
    <w:rPr>
      <w:color w:val="605E5C"/>
      <w:shd w:val="clear" w:color="auto" w:fill="E1DFDD"/>
    </w:rPr>
  </w:style>
  <w:style w:type="character" w:styleId="17">
    <w:name w:val="FollowedHyperlink"/>
    <w:basedOn w:val="10"/>
    <w:next w:val="17"/>
    <w:link w:val="0"/>
    <w:uiPriority w:val="0"/>
    <w:rPr>
      <w:color w:val="954F72" w:themeColor="followed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3</Pages>
  <Words>20</Words>
  <Characters>1362</Characters>
  <Application>JUST Note</Application>
  <Lines>180</Lines>
  <Paragraphs>53</Paragraphs>
  <CharactersWithSpaces>1491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祐嗣</dc:creator>
  <cp:lastModifiedBy>神之薗　敬章</cp:lastModifiedBy>
  <cp:lastPrinted>2022-07-28T06:05:00Z</cp:lastPrinted>
  <dcterms:created xsi:type="dcterms:W3CDTF">2022-07-11T01:45:00Z</dcterms:created>
  <dcterms:modified xsi:type="dcterms:W3CDTF">2022-08-01T03:38:00Z</dcterms:modified>
  <cp:revision>7</cp:revision>
</cp:coreProperties>
</file>